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0CD0C2DE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171789">
        <w:rPr>
          <w:b/>
          <w:sz w:val="24"/>
          <w:szCs w:val="24"/>
        </w:rPr>
        <w:t xml:space="preserve">Ældreudvalget </w:t>
      </w:r>
    </w:p>
    <w:p w14:paraId="22E1771A" w14:textId="7F177BFE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462997">
        <w:rPr>
          <w:b/>
          <w:sz w:val="24"/>
          <w:szCs w:val="24"/>
        </w:rPr>
        <w:t>20/9 2022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51F01AA6" w14:textId="0E3123F0" w:rsidR="002327F8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462997">
        <w:rPr>
          <w:sz w:val="24"/>
          <w:szCs w:val="24"/>
        </w:rPr>
        <w:t>19. september</w:t>
      </w:r>
      <w:r w:rsidR="00171789">
        <w:rPr>
          <w:sz w:val="24"/>
          <w:szCs w:val="24"/>
        </w:rPr>
        <w:t xml:space="preserve"> 2022</w:t>
      </w:r>
      <w:r w:rsidR="00C256B3">
        <w:rPr>
          <w:sz w:val="24"/>
          <w:szCs w:val="24"/>
        </w:rPr>
        <w:t xml:space="preserve"> set på dagsordenen til </w:t>
      </w:r>
      <w:r w:rsidR="00171789">
        <w:rPr>
          <w:sz w:val="24"/>
          <w:szCs w:val="24"/>
        </w:rPr>
        <w:t>Ældreudvalgets</w:t>
      </w:r>
      <w:r w:rsidR="00C256B3">
        <w:rPr>
          <w:sz w:val="24"/>
          <w:szCs w:val="24"/>
        </w:rPr>
        <w:t xml:space="preserve"> møde</w:t>
      </w:r>
    </w:p>
    <w:p w14:paraId="4E9BE0AA" w14:textId="2F76B168" w:rsidR="00021C63" w:rsidRDefault="002327F8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torsdag den 2</w:t>
      </w:r>
      <w:r w:rsidR="00462997">
        <w:rPr>
          <w:sz w:val="24"/>
          <w:szCs w:val="24"/>
        </w:rPr>
        <w:t>2. september 2022</w:t>
      </w:r>
      <w:r w:rsidR="00B14ACD">
        <w:rPr>
          <w:sz w:val="24"/>
          <w:szCs w:val="24"/>
        </w:rPr>
        <w:t>,</w:t>
      </w:r>
      <w:r w:rsidR="00C256B3">
        <w:rPr>
          <w:sz w:val="24"/>
          <w:szCs w:val="24"/>
        </w:rPr>
        <w:t xml:space="preserve"> og har følgende kommentarer:</w:t>
      </w:r>
    </w:p>
    <w:p w14:paraId="1882AB52" w14:textId="67F3184B" w:rsidR="00462997" w:rsidRDefault="00462997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73F7D53A" w14:textId="2604CA6A" w:rsidR="00462997" w:rsidRDefault="00462997" w:rsidP="00462997">
      <w:pPr>
        <w:tabs>
          <w:tab w:val="left" w:pos="8100"/>
        </w:tabs>
        <w:rPr>
          <w:sz w:val="24"/>
          <w:szCs w:val="24"/>
        </w:rPr>
      </w:pPr>
      <w:r w:rsidRPr="00462997">
        <w:rPr>
          <w:b/>
          <w:bCs/>
          <w:sz w:val="28"/>
          <w:szCs w:val="28"/>
        </w:rPr>
        <w:t>Først en forespørgsel/et ønske</w:t>
      </w:r>
      <w:r w:rsidR="009C3C0D">
        <w:rPr>
          <w:b/>
          <w:bCs/>
          <w:sz w:val="28"/>
          <w:szCs w:val="28"/>
        </w:rPr>
        <w:t xml:space="preserve">: </w:t>
      </w:r>
      <w:r w:rsidR="009C3C0D">
        <w:rPr>
          <w:sz w:val="24"/>
          <w:szCs w:val="24"/>
        </w:rPr>
        <w:t>Ældreudvalgets møde starter meget ofte med en temadrøftelse, som</w:t>
      </w:r>
    </w:p>
    <w:p w14:paraId="20D60C97" w14:textId="78E112B8" w:rsidR="009C3C0D" w:rsidRDefault="00633550" w:rsidP="00462997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9C3C0D">
        <w:rPr>
          <w:sz w:val="24"/>
          <w:szCs w:val="24"/>
        </w:rPr>
        <w:t xml:space="preserve">gså har stor interesse for Ældrerådet. Er der en mulighed for, vi kunne deltage i den del af mødet. Vi er helt klar over, at </w:t>
      </w:r>
      <w:r w:rsidR="008437D8">
        <w:rPr>
          <w:sz w:val="24"/>
          <w:szCs w:val="24"/>
        </w:rPr>
        <w:t>udvalgsmøderne er lukkede møder. Men selve temaerne er ofte af stor interesse for Ældrerådet og ligger jo inden det egentlige møde.</w:t>
      </w:r>
    </w:p>
    <w:p w14:paraId="5BFBD8F1" w14:textId="0F32AC33" w:rsidR="009C3C0D" w:rsidRPr="009C3C0D" w:rsidRDefault="009C3C0D" w:rsidP="00462997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7A9404B" w14:textId="73144121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1E07C3E9" w14:textId="3B9BF536" w:rsidR="00EB31AA" w:rsidRDefault="00C351BD" w:rsidP="00C351BD">
      <w:pPr>
        <w:tabs>
          <w:tab w:val="left" w:pos="8100"/>
        </w:tabs>
        <w:rPr>
          <w:b/>
          <w:bCs/>
          <w:sz w:val="28"/>
          <w:szCs w:val="28"/>
        </w:rPr>
      </w:pPr>
      <w:r w:rsidRPr="008F1F03">
        <w:rPr>
          <w:b/>
          <w:bCs/>
          <w:sz w:val="28"/>
          <w:szCs w:val="28"/>
        </w:rPr>
        <w:t xml:space="preserve">Punkt. </w:t>
      </w:r>
      <w:proofErr w:type="gramStart"/>
      <w:r w:rsidR="002327F8">
        <w:rPr>
          <w:b/>
          <w:bCs/>
          <w:sz w:val="28"/>
          <w:szCs w:val="28"/>
        </w:rPr>
        <w:t>2</w:t>
      </w:r>
      <w:r w:rsidR="00EB31AA">
        <w:rPr>
          <w:b/>
          <w:bCs/>
          <w:sz w:val="28"/>
          <w:szCs w:val="28"/>
        </w:rPr>
        <w:t xml:space="preserve">  ÆU</w:t>
      </w:r>
      <w:proofErr w:type="gramEnd"/>
      <w:r w:rsidR="00EB31AA">
        <w:rPr>
          <w:b/>
          <w:bCs/>
          <w:sz w:val="28"/>
          <w:szCs w:val="28"/>
        </w:rPr>
        <w:t xml:space="preserve"> – </w:t>
      </w:r>
      <w:r w:rsidR="008437D8">
        <w:rPr>
          <w:b/>
          <w:bCs/>
          <w:sz w:val="28"/>
          <w:szCs w:val="28"/>
        </w:rPr>
        <w:t>Ansøgning om midler hos Socialstyrelsen til forsøg med selvvisitation</w:t>
      </w:r>
    </w:p>
    <w:p w14:paraId="767668FB" w14:textId="4C518CEB" w:rsidR="00633550" w:rsidRDefault="00633550" w:rsidP="00C351BD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I hjemmeplejen.</w:t>
      </w:r>
      <w:r w:rsidR="008437D8">
        <w:rPr>
          <w:b/>
          <w:bCs/>
          <w:sz w:val="28"/>
          <w:szCs w:val="28"/>
        </w:rPr>
        <w:t xml:space="preserve">                  </w:t>
      </w:r>
    </w:p>
    <w:p w14:paraId="069D031F" w14:textId="4E5A9C36" w:rsidR="00C7674E" w:rsidRDefault="00EB31AA" w:rsidP="00C351BD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 w:rsidR="00633550">
        <w:rPr>
          <w:sz w:val="24"/>
          <w:szCs w:val="24"/>
        </w:rPr>
        <w:t>God idé. Vi ser dog et problem i forhold til privat udbyder. Hvordan får man hjemmeplejen fra</w:t>
      </w:r>
    </w:p>
    <w:p w14:paraId="052796A4" w14:textId="7DC0E91F" w:rsidR="00633550" w:rsidRDefault="00633550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en privat udbyder inddraget</w:t>
      </w:r>
      <w:r w:rsidR="003363C4">
        <w:rPr>
          <w:sz w:val="24"/>
          <w:szCs w:val="24"/>
        </w:rPr>
        <w:t xml:space="preserve"> på samme måde som kommunens hjemmepleje?</w:t>
      </w:r>
    </w:p>
    <w:p w14:paraId="5AAEF9A1" w14:textId="77777777" w:rsidR="00FB2998" w:rsidRDefault="00FB2998" w:rsidP="00C351BD">
      <w:pPr>
        <w:tabs>
          <w:tab w:val="left" w:pos="8100"/>
        </w:tabs>
        <w:rPr>
          <w:sz w:val="24"/>
          <w:szCs w:val="24"/>
        </w:rPr>
      </w:pPr>
    </w:p>
    <w:p w14:paraId="06431A8F" w14:textId="3925FF0C" w:rsidR="00B9281D" w:rsidRPr="00C351BD" w:rsidRDefault="00C351BD" w:rsidP="00C86319">
      <w:pPr>
        <w:tabs>
          <w:tab w:val="left" w:pos="8100"/>
        </w:tabs>
        <w:rPr>
          <w:sz w:val="24"/>
          <w:szCs w:val="24"/>
        </w:rPr>
      </w:pPr>
      <w:r w:rsidRPr="00E86E8E">
        <w:rPr>
          <w:b/>
          <w:bCs/>
          <w:sz w:val="28"/>
          <w:szCs w:val="28"/>
        </w:rPr>
        <w:t xml:space="preserve"> </w:t>
      </w:r>
    </w:p>
    <w:p w14:paraId="5F8E1B4C" w14:textId="3A0F65C4" w:rsidR="006847BC" w:rsidRDefault="00B9281D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Punkt.</w:t>
      </w:r>
      <w:r w:rsidR="00C256B3">
        <w:rPr>
          <w:b/>
          <w:bCs/>
          <w:sz w:val="28"/>
          <w:szCs w:val="28"/>
        </w:rPr>
        <w:t xml:space="preserve"> </w:t>
      </w:r>
      <w:proofErr w:type="gramStart"/>
      <w:r w:rsidR="003363C4">
        <w:rPr>
          <w:b/>
          <w:bCs/>
          <w:sz w:val="28"/>
          <w:szCs w:val="28"/>
        </w:rPr>
        <w:t>3</w:t>
      </w:r>
      <w:r w:rsidR="00FB2998">
        <w:rPr>
          <w:b/>
          <w:bCs/>
          <w:sz w:val="28"/>
          <w:szCs w:val="28"/>
        </w:rPr>
        <w:t xml:space="preserve">  ÆU</w:t>
      </w:r>
      <w:proofErr w:type="gramEnd"/>
      <w:r w:rsidR="003363C4">
        <w:rPr>
          <w:b/>
          <w:bCs/>
          <w:sz w:val="28"/>
          <w:szCs w:val="28"/>
        </w:rPr>
        <w:t xml:space="preserve"> – Venteliste til plejeboliger.</w:t>
      </w:r>
    </w:p>
    <w:p w14:paraId="29645AC0" w14:textId="1071561D" w:rsidR="002A4EF0" w:rsidRDefault="006847BC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 w:rsidR="003363C4">
        <w:rPr>
          <w:sz w:val="24"/>
          <w:szCs w:val="24"/>
        </w:rPr>
        <w:t xml:space="preserve"> Det er mange borgere, der overskrider ventelistegarantien</w:t>
      </w:r>
      <w:r w:rsidR="00A165C1">
        <w:rPr>
          <w:sz w:val="24"/>
          <w:szCs w:val="24"/>
        </w:rPr>
        <w:t xml:space="preserve">, og det ser ud til, at antallet er </w:t>
      </w:r>
    </w:p>
    <w:p w14:paraId="67013E05" w14:textId="35C2BF5A" w:rsidR="00A165C1" w:rsidRDefault="00A165C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stigende. Er der en grund til dette? Er der iværksat ekstra støtte til dem i eget hjem i ventetiden?</w:t>
      </w:r>
    </w:p>
    <w:p w14:paraId="0B33BFFB" w14:textId="07878790" w:rsidR="00A165C1" w:rsidRDefault="00A165C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Der er 24 borgere på den specifikke liste. Hvordan fordeler ventelisten sig mellem ønske om</w:t>
      </w:r>
    </w:p>
    <w:p w14:paraId="756841C7" w14:textId="5C201554" w:rsidR="00A165C1" w:rsidRDefault="00A165C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Albertshøj</w:t>
      </w:r>
      <w:r w:rsidR="00A712B4">
        <w:rPr>
          <w:sz w:val="24"/>
          <w:szCs w:val="24"/>
        </w:rPr>
        <w:t xml:space="preserve"> og ønske om Humlehusene? Er der en ligelig fordeling og hvis ikke, hvad er </w:t>
      </w:r>
    </w:p>
    <w:p w14:paraId="55DF0CA3" w14:textId="4E5CD64E" w:rsidR="00A712B4" w:rsidRDefault="00A712B4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grunden så? Hvor længe venter borgere på den specifikke liste i gennemsnit på at få en plads?</w:t>
      </w:r>
    </w:p>
    <w:p w14:paraId="5A964421" w14:textId="51C07F01" w:rsidR="00A712B4" w:rsidRDefault="00A712B4" w:rsidP="00C86319">
      <w:pPr>
        <w:tabs>
          <w:tab w:val="left" w:pos="8100"/>
        </w:tabs>
        <w:rPr>
          <w:sz w:val="24"/>
          <w:szCs w:val="24"/>
        </w:rPr>
      </w:pPr>
    </w:p>
    <w:p w14:paraId="60D51B1C" w14:textId="6A7DE187" w:rsidR="00A712B4" w:rsidRDefault="00A712B4" w:rsidP="00C86319">
      <w:pPr>
        <w:tabs>
          <w:tab w:val="left" w:pos="8100"/>
        </w:tabs>
        <w:rPr>
          <w:sz w:val="24"/>
          <w:szCs w:val="24"/>
        </w:rPr>
      </w:pPr>
    </w:p>
    <w:p w14:paraId="7A41E882" w14:textId="6102A3B1" w:rsidR="00A712B4" w:rsidRDefault="00A712B4" w:rsidP="00C86319">
      <w:pPr>
        <w:tabs>
          <w:tab w:val="left" w:pos="8100"/>
        </w:tabs>
        <w:rPr>
          <w:b/>
          <w:bCs/>
          <w:sz w:val="28"/>
          <w:szCs w:val="28"/>
        </w:rPr>
      </w:pPr>
      <w:r w:rsidRPr="001E691D">
        <w:rPr>
          <w:b/>
          <w:bCs/>
          <w:sz w:val="28"/>
          <w:szCs w:val="28"/>
          <w:lang w:val="nb-NO"/>
        </w:rPr>
        <w:t>Punkt</w:t>
      </w:r>
      <w:r w:rsidR="001E691D" w:rsidRPr="001E691D">
        <w:rPr>
          <w:b/>
          <w:bCs/>
          <w:sz w:val="28"/>
          <w:szCs w:val="28"/>
          <w:lang w:val="nb-NO"/>
        </w:rPr>
        <w:t xml:space="preserve">. </w:t>
      </w:r>
      <w:r w:rsidR="001E691D" w:rsidRPr="001E691D">
        <w:rPr>
          <w:b/>
          <w:bCs/>
          <w:sz w:val="28"/>
          <w:szCs w:val="28"/>
        </w:rPr>
        <w:t>4    ÆU – Orientering om endeligt ud</w:t>
      </w:r>
      <w:r w:rsidR="001E691D">
        <w:rPr>
          <w:b/>
          <w:bCs/>
          <w:sz w:val="28"/>
          <w:szCs w:val="28"/>
        </w:rPr>
        <w:t>budsmateriale til genudbud af lovpligtige</w:t>
      </w:r>
    </w:p>
    <w:p w14:paraId="3D4EAE5E" w14:textId="1331902F" w:rsidR="001E691D" w:rsidRDefault="001E691D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hjemmeplejeydelser.</w:t>
      </w:r>
    </w:p>
    <w:p w14:paraId="6F750B8D" w14:textId="32718234" w:rsidR="001E691D" w:rsidRDefault="001E691D" w:rsidP="00C86319">
      <w:pPr>
        <w:tabs>
          <w:tab w:val="left" w:pos="8100"/>
        </w:tabs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</w:t>
      </w:r>
      <w:r w:rsidR="00B801B8">
        <w:rPr>
          <w:b/>
          <w:bCs/>
          <w:sz w:val="24"/>
          <w:szCs w:val="24"/>
        </w:rPr>
        <w:t>Under kravsspecifikation:</w:t>
      </w:r>
    </w:p>
    <w:p w14:paraId="479CCF98" w14:textId="1EADD026" w:rsidR="00B801B8" w:rsidRDefault="00B801B8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AA368A">
        <w:rPr>
          <w:sz w:val="24"/>
          <w:szCs w:val="24"/>
        </w:rPr>
        <w:t>1.2 Visitation – se punkt 2.</w:t>
      </w:r>
    </w:p>
    <w:p w14:paraId="0D16F1FD" w14:textId="00B4F464" w:rsidR="00AA368A" w:rsidRDefault="00AA368A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8.4/8.5 Deltage i samarbejde omkring nye tiltag og udviklingsprojekter. Der er sandsynligvis</w:t>
      </w:r>
    </w:p>
    <w:p w14:paraId="39103F59" w14:textId="3A275A51" w:rsidR="00AA368A" w:rsidRDefault="00AA368A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dækning i denne formulering, men det er vigtigt, den private leverandør også kan arbejde med </w:t>
      </w:r>
    </w:p>
    <w:p w14:paraId="78E8A2DD" w14:textId="0327EB5D" w:rsidR="00AA368A" w:rsidRPr="00AA368A" w:rsidRDefault="00AA368A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faste teams, besøgspakker og lignende tiltag, der indføres i kommunen.</w:t>
      </w:r>
    </w:p>
    <w:p w14:paraId="0E265F0F" w14:textId="77777777" w:rsidR="001E691D" w:rsidRPr="001E691D" w:rsidRDefault="001E691D" w:rsidP="00C86319">
      <w:pPr>
        <w:tabs>
          <w:tab w:val="left" w:pos="8100"/>
        </w:tabs>
        <w:rPr>
          <w:b/>
          <w:bCs/>
          <w:sz w:val="28"/>
          <w:szCs w:val="28"/>
        </w:rPr>
      </w:pPr>
    </w:p>
    <w:p w14:paraId="0BCBD94C" w14:textId="040F3734" w:rsidR="005B7486" w:rsidRPr="001E691D" w:rsidRDefault="00FE0E32" w:rsidP="008767E7">
      <w:pPr>
        <w:tabs>
          <w:tab w:val="left" w:pos="8100"/>
        </w:tabs>
        <w:rPr>
          <w:bCs/>
          <w:sz w:val="24"/>
          <w:szCs w:val="24"/>
        </w:rPr>
      </w:pPr>
      <w:r w:rsidRPr="001E691D">
        <w:rPr>
          <w:sz w:val="24"/>
          <w:szCs w:val="24"/>
        </w:rPr>
        <w:t xml:space="preserve">             </w:t>
      </w:r>
      <w:r w:rsidR="003267F1" w:rsidRPr="001E691D">
        <w:rPr>
          <w:sz w:val="24"/>
          <w:szCs w:val="24"/>
        </w:rPr>
        <w:t xml:space="preserve">                      </w:t>
      </w:r>
      <w:r w:rsidR="00E36719" w:rsidRPr="001E691D">
        <w:rPr>
          <w:b/>
          <w:sz w:val="24"/>
          <w:szCs w:val="24"/>
        </w:rPr>
        <w:t xml:space="preserve">          </w:t>
      </w:r>
      <w:r w:rsidR="008C0054" w:rsidRPr="001E691D">
        <w:rPr>
          <w:b/>
          <w:sz w:val="28"/>
          <w:szCs w:val="28"/>
        </w:rPr>
        <w:t xml:space="preserve">           </w:t>
      </w:r>
      <w:r w:rsidR="003C5C92" w:rsidRPr="001E691D">
        <w:rPr>
          <w:b/>
          <w:sz w:val="28"/>
          <w:szCs w:val="28"/>
        </w:rPr>
        <w:t xml:space="preserve">     </w:t>
      </w:r>
      <w:r w:rsidR="008C0054" w:rsidRPr="001E691D">
        <w:rPr>
          <w:b/>
          <w:sz w:val="28"/>
          <w:szCs w:val="28"/>
        </w:rPr>
        <w:t xml:space="preserve"> </w:t>
      </w:r>
    </w:p>
    <w:p w14:paraId="5DAB4D98" w14:textId="612F6091" w:rsidR="00591674" w:rsidRPr="008A4E53" w:rsidRDefault="00C15BA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Øvrige punkter har</w:t>
      </w:r>
      <w:r w:rsidR="00786C30"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ikke</w:t>
      </w:r>
      <w:r w:rsidR="00786C30">
        <w:rPr>
          <w:b/>
          <w:sz w:val="28"/>
          <w:szCs w:val="28"/>
        </w:rPr>
        <w:t xml:space="preserve"> bemærkninger til.</w:t>
      </w:r>
    </w:p>
    <w:p w14:paraId="00F84DC1" w14:textId="49F74DF6" w:rsidR="0049153E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1370"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287" w14:textId="77777777" w:rsidR="0045012B" w:rsidRDefault="0045012B" w:rsidP="005D2131">
      <w:r>
        <w:separator/>
      </w:r>
    </w:p>
  </w:endnote>
  <w:endnote w:type="continuationSeparator" w:id="0">
    <w:p w14:paraId="084B5BCD" w14:textId="77777777" w:rsidR="0045012B" w:rsidRDefault="0045012B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5870" w14:textId="77777777" w:rsidR="0045012B" w:rsidRDefault="0045012B" w:rsidP="005D2131">
      <w:r>
        <w:separator/>
      </w:r>
    </w:p>
  </w:footnote>
  <w:footnote w:type="continuationSeparator" w:id="0">
    <w:p w14:paraId="63C42345" w14:textId="77777777" w:rsidR="0045012B" w:rsidRDefault="0045012B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77635"/>
    <w:rsid w:val="00092557"/>
    <w:rsid w:val="00096821"/>
    <w:rsid w:val="000A3183"/>
    <w:rsid w:val="000D3886"/>
    <w:rsid w:val="000E033B"/>
    <w:rsid w:val="000E0C86"/>
    <w:rsid w:val="000E2F56"/>
    <w:rsid w:val="001001DF"/>
    <w:rsid w:val="00126429"/>
    <w:rsid w:val="00136B1F"/>
    <w:rsid w:val="00152EF9"/>
    <w:rsid w:val="00171789"/>
    <w:rsid w:val="00180560"/>
    <w:rsid w:val="001914B1"/>
    <w:rsid w:val="001A1E68"/>
    <w:rsid w:val="001D19D2"/>
    <w:rsid w:val="001D406A"/>
    <w:rsid w:val="001E691D"/>
    <w:rsid w:val="001F7E61"/>
    <w:rsid w:val="00211CF7"/>
    <w:rsid w:val="002134B6"/>
    <w:rsid w:val="0022576A"/>
    <w:rsid w:val="002327F8"/>
    <w:rsid w:val="002368FB"/>
    <w:rsid w:val="00236F75"/>
    <w:rsid w:val="002625E9"/>
    <w:rsid w:val="00285340"/>
    <w:rsid w:val="00285C91"/>
    <w:rsid w:val="002A4EF0"/>
    <w:rsid w:val="002B197C"/>
    <w:rsid w:val="002B4708"/>
    <w:rsid w:val="003037C9"/>
    <w:rsid w:val="003141E5"/>
    <w:rsid w:val="00314947"/>
    <w:rsid w:val="003267F1"/>
    <w:rsid w:val="003345E5"/>
    <w:rsid w:val="00335A5F"/>
    <w:rsid w:val="003363C4"/>
    <w:rsid w:val="00336A1A"/>
    <w:rsid w:val="003437FB"/>
    <w:rsid w:val="003516D9"/>
    <w:rsid w:val="00374EC3"/>
    <w:rsid w:val="0037514B"/>
    <w:rsid w:val="003B20C7"/>
    <w:rsid w:val="003B2327"/>
    <w:rsid w:val="003C5C92"/>
    <w:rsid w:val="003C62D3"/>
    <w:rsid w:val="003D297A"/>
    <w:rsid w:val="0040717F"/>
    <w:rsid w:val="00430800"/>
    <w:rsid w:val="00433BFA"/>
    <w:rsid w:val="00442792"/>
    <w:rsid w:val="00447090"/>
    <w:rsid w:val="0045012B"/>
    <w:rsid w:val="0045660D"/>
    <w:rsid w:val="00462997"/>
    <w:rsid w:val="00473CC9"/>
    <w:rsid w:val="00482992"/>
    <w:rsid w:val="0048714F"/>
    <w:rsid w:val="0049153E"/>
    <w:rsid w:val="0049504D"/>
    <w:rsid w:val="004953C4"/>
    <w:rsid w:val="004975BB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91674"/>
    <w:rsid w:val="0059184C"/>
    <w:rsid w:val="00594EEE"/>
    <w:rsid w:val="005A24A0"/>
    <w:rsid w:val="005A5809"/>
    <w:rsid w:val="005B1370"/>
    <w:rsid w:val="005B7486"/>
    <w:rsid w:val="005D2131"/>
    <w:rsid w:val="005E51E1"/>
    <w:rsid w:val="005F2518"/>
    <w:rsid w:val="005F407D"/>
    <w:rsid w:val="00615CB9"/>
    <w:rsid w:val="006247E1"/>
    <w:rsid w:val="00632664"/>
    <w:rsid w:val="00633550"/>
    <w:rsid w:val="00642456"/>
    <w:rsid w:val="00643294"/>
    <w:rsid w:val="00645233"/>
    <w:rsid w:val="0065108A"/>
    <w:rsid w:val="00663B14"/>
    <w:rsid w:val="0067129B"/>
    <w:rsid w:val="006847BC"/>
    <w:rsid w:val="006855D4"/>
    <w:rsid w:val="00686028"/>
    <w:rsid w:val="006A49E8"/>
    <w:rsid w:val="006D1D73"/>
    <w:rsid w:val="006F52F1"/>
    <w:rsid w:val="00732979"/>
    <w:rsid w:val="00741B2C"/>
    <w:rsid w:val="007424C2"/>
    <w:rsid w:val="0076519F"/>
    <w:rsid w:val="00772CB7"/>
    <w:rsid w:val="00784495"/>
    <w:rsid w:val="00786C30"/>
    <w:rsid w:val="00787D99"/>
    <w:rsid w:val="0079084A"/>
    <w:rsid w:val="007B69C5"/>
    <w:rsid w:val="007D38A6"/>
    <w:rsid w:val="007E37BC"/>
    <w:rsid w:val="007F552D"/>
    <w:rsid w:val="00814441"/>
    <w:rsid w:val="008437D8"/>
    <w:rsid w:val="00851A10"/>
    <w:rsid w:val="008767E7"/>
    <w:rsid w:val="008A4E53"/>
    <w:rsid w:val="008A60E9"/>
    <w:rsid w:val="008C0054"/>
    <w:rsid w:val="008C0705"/>
    <w:rsid w:val="008C4221"/>
    <w:rsid w:val="008C7727"/>
    <w:rsid w:val="008E3A86"/>
    <w:rsid w:val="008E711A"/>
    <w:rsid w:val="008F1F03"/>
    <w:rsid w:val="00931808"/>
    <w:rsid w:val="009325CB"/>
    <w:rsid w:val="0093549D"/>
    <w:rsid w:val="00941781"/>
    <w:rsid w:val="0094351F"/>
    <w:rsid w:val="009474E4"/>
    <w:rsid w:val="009745AD"/>
    <w:rsid w:val="00981A3D"/>
    <w:rsid w:val="009845B8"/>
    <w:rsid w:val="009A0D59"/>
    <w:rsid w:val="009A4494"/>
    <w:rsid w:val="009B2389"/>
    <w:rsid w:val="009C18D9"/>
    <w:rsid w:val="009C3C0D"/>
    <w:rsid w:val="009D538D"/>
    <w:rsid w:val="009E6521"/>
    <w:rsid w:val="009F35D4"/>
    <w:rsid w:val="00A0222C"/>
    <w:rsid w:val="00A13292"/>
    <w:rsid w:val="00A165C1"/>
    <w:rsid w:val="00A57296"/>
    <w:rsid w:val="00A6015B"/>
    <w:rsid w:val="00A62073"/>
    <w:rsid w:val="00A67202"/>
    <w:rsid w:val="00A67DBA"/>
    <w:rsid w:val="00A712B4"/>
    <w:rsid w:val="00A83EA1"/>
    <w:rsid w:val="00A917DB"/>
    <w:rsid w:val="00A94C5B"/>
    <w:rsid w:val="00AA368A"/>
    <w:rsid w:val="00AB1A60"/>
    <w:rsid w:val="00AB3EAD"/>
    <w:rsid w:val="00AB6FF1"/>
    <w:rsid w:val="00AD5759"/>
    <w:rsid w:val="00AE57BA"/>
    <w:rsid w:val="00AF1279"/>
    <w:rsid w:val="00B00D83"/>
    <w:rsid w:val="00B14ACD"/>
    <w:rsid w:val="00B1620C"/>
    <w:rsid w:val="00B20B9E"/>
    <w:rsid w:val="00B26EC7"/>
    <w:rsid w:val="00B277C4"/>
    <w:rsid w:val="00B359C7"/>
    <w:rsid w:val="00B411BC"/>
    <w:rsid w:val="00B43708"/>
    <w:rsid w:val="00B46F7F"/>
    <w:rsid w:val="00B667A8"/>
    <w:rsid w:val="00B73199"/>
    <w:rsid w:val="00B74970"/>
    <w:rsid w:val="00B801B8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351BD"/>
    <w:rsid w:val="00C407F6"/>
    <w:rsid w:val="00C51E79"/>
    <w:rsid w:val="00C52D2E"/>
    <w:rsid w:val="00C639AA"/>
    <w:rsid w:val="00C671B7"/>
    <w:rsid w:val="00C7674E"/>
    <w:rsid w:val="00C86319"/>
    <w:rsid w:val="00CA0EDA"/>
    <w:rsid w:val="00CA4262"/>
    <w:rsid w:val="00CA70B3"/>
    <w:rsid w:val="00CC2A18"/>
    <w:rsid w:val="00CC352B"/>
    <w:rsid w:val="00CC4A3B"/>
    <w:rsid w:val="00CD0255"/>
    <w:rsid w:val="00CF62C5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36719"/>
    <w:rsid w:val="00E41401"/>
    <w:rsid w:val="00E47604"/>
    <w:rsid w:val="00E571D5"/>
    <w:rsid w:val="00E60DDB"/>
    <w:rsid w:val="00E65086"/>
    <w:rsid w:val="00E67F5E"/>
    <w:rsid w:val="00E75FE4"/>
    <w:rsid w:val="00E86E8E"/>
    <w:rsid w:val="00E92B3B"/>
    <w:rsid w:val="00EB31AA"/>
    <w:rsid w:val="00EC76DF"/>
    <w:rsid w:val="00EF504D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A58E3"/>
    <w:rsid w:val="00FB003D"/>
    <w:rsid w:val="00FB2998"/>
    <w:rsid w:val="00FC077C"/>
    <w:rsid w:val="00FC366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2162</Characters>
  <Application>Microsoft Office Word</Application>
  <DocSecurity>0</DocSecurity>
  <Lines>80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2022-09-20T08:24:00Z</cp:lastPrinted>
  <dcterms:created xsi:type="dcterms:W3CDTF">2022-12-13T18:44:00Z</dcterms:created>
  <dcterms:modified xsi:type="dcterms:W3CDTF">2022-12-13T18:44:00Z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{FE99BF95-10A6-4DD9-89A7-85EAABBA466F}</vt:lpwstr>
  </property>
</Properties>
</file>